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/>
        <w:ind w:firstLine="3080" w:firstLineChars="1100"/>
        <w:jc w:val="both"/>
        <w:rPr>
          <w:rFonts w:hint="default" w:ascii="Times New Roman" w:hAnsi="Times New Roman" w:cs="Times New Roman"/>
          <w:color w:val="000000"/>
          <w:sz w:val="28"/>
          <w:szCs w:val="24"/>
          <w:lang w:val="ru-RU"/>
        </w:rPr>
      </w:pPr>
    </w:p>
    <w:p>
      <w:pPr>
        <w:spacing w:before="0" w:beforeAutospacing="0" w:after="0" w:afterAutospacing="0"/>
        <w:jc w:val="left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sz w:val="20"/>
        </w:rPr>
        <w:drawing>
          <wp:inline distT="0" distB="0" distL="0" distR="0">
            <wp:extent cx="6699885" cy="9168130"/>
            <wp:effectExtent l="0" t="0" r="5715" b="635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9972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2801" w:firstLineChars="1000"/>
        <w:jc w:val="both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  <w:bookmarkStart w:id="0" w:name="_GoBack"/>
      <w:bookmarkEnd w:id="0"/>
    </w:p>
    <w:p>
      <w:pPr>
        <w:spacing w:before="0" w:beforeAutospacing="0" w:after="0" w:afterAutospacing="0"/>
        <w:ind w:firstLine="2801" w:firstLineChars="1000"/>
        <w:jc w:val="both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</w:p>
    <w:p>
      <w:pPr>
        <w:spacing w:before="0" w:beforeAutospacing="0" w:after="0" w:afterAutospacing="0"/>
        <w:ind w:firstLine="2801" w:firstLineChars="1000"/>
        <w:jc w:val="both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 xml:space="preserve">Паспорт программы развития 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8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>МБДОУ  детского сада  «Радуга»</w:t>
      </w:r>
      <w:r>
        <w:rPr>
          <w:rFonts w:hint="default" w:ascii="Times New Roman" w:hAnsi="Times New Roman" w:cs="Times New Roman"/>
          <w:sz w:val="28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>на 2022–2025 годы</w:t>
      </w: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1"/>
        <w:gridCol w:w="670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Программа развития МБДОУ  детского  сада «Радуга»  на 2022–2025 годы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Разработчики программы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Рабочая группа МБДОУ  детского сада  «Радуга»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Координаторы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Бараан Аяна Анатольевна, старший воспитатель МБДОУ  детского сада «Радуга»,заведующий Кундан Ровена Павловна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Исполнители программы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Коллектив МБДОУ детского сада  «Радуга»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Нормативно-правовая и методическая база для разработки программы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1.Федеральный закон «Об образовании в Российской Федерации» от 29.12.2012 № 273-ФЗ.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 Стратегия развития воспитания в РФ на период до 2025 года,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утвержденная распоряжением Правительства РФ от 29.05.2015 № 996-р.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 Концепция развития дополнительного образования детей в РФ,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утвержденная распоряжением Правительства РФ от 04.09.2014 № 1726-р.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 Федеральный государственный образовательный стандарт дошкольного образования (ФГОС ДО).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5.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Минпросвещения от 31.07.2020 № 373.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Срок реализации программы развития</w:t>
            </w:r>
          </w:p>
        </w:tc>
        <w:tc>
          <w:tcPr>
            <w:tcW w:w="72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3 лет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(с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по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Основные этапы реализации программы развития</w:t>
            </w:r>
          </w:p>
        </w:tc>
        <w:tc>
          <w:tcPr>
            <w:tcW w:w="72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Первый этап: разработка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документов, направленных на методическое, кадровое 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информационное развитие образовательной организации, проведение промежуточного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мониторинга реализации программы.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Второй этап: реализация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мероприятий, направленных на достижение результатов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программы, промежуточный мониторинг реализации мероприятий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программы, коррекция программы.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Третий этап: итоговый мониторинг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реализации мероприятий программы, анализ динамики результатов,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выявление проблем и путей их решения, определение перспектив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дальнейшего развития.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Подведение итогов и постановка новых стратегических задач развития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Цели программы развития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1.Повышение качества образовательных, здоровьеформирующих и коррекционных услуг в организации, с учётом возрастных и индивидуальных особенностей детей.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 Модернизация системы управления образовательной, инновационной и финансово-экономической деятельностью организации.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 Обеспечение доступности дошкольного образования, равных стартовых возможностей каждому ребёнку дошкольного возраста с учётом потребностей и возможностей социума.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Задачи программы развития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 Обеспечение преемственности основных образовательных программ дошкольного образования и начального образования.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 Формирование предпосылок у детей к обучению в школе и осуществление преемственности дошкольного и начального обучения.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 Повысить конкурентоспособность организации путём предоставления широкого спектра качественных образовательных, коррекционных и информационно-пространственных услуг, внедрение в практику работы организации новых форм дошкольного образования, сетевого взаимодействия.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4.Обеспечить эффективное, результативное функционирование и постоянный рост профессиональной компетентности стабильного коллектива в соответствии с требованиями ФГОС ДО.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5. Оказание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6. Привести в соответствие с требованиями основной общеобразовательной программы дошкольного образования развивающую предметно-пространственную среду и материально-техническую базу организации.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7. Модернизировать систему управления образовательной организации.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8. Создание условий для полноценного сотрудничества с социальными партнерами для разностороннего развития воспитанников.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Высокая конкурентоспособность детского сада на рынке образовательных услуг, обеспечение равных стартовых возможностей дошкольников.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Расширение спектра дополнительных образовательных услуг для детей и их родителей.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Разработка программы психолого-педагогической поддержки семьи и повышения компетенции родителей в вопросах развития и образования, охраны и укрепления здоровья детей.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Высокий процент выпускников ДОУ, успешно прошедших адаптацию в первом классе школы.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Внедрение в педагогический процесс новых современных форм и технологий воспитания и обучения в соответствии с требованиями ФГОС ДО, в том числе в рамках цифровизации образования.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Построение современной комфортной развивающей предметно-пространственной среды и обучающего пространства в соответствии с требованиями ФГОС ДО.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Реализация инновационных технологий: информатизация процесса образования (использование коллекции Цифровых образовательных ресурсов (ЦОР) в процессе обучения и воспитания дошкольников, повышения профессиональной компетентности работников детского сада); участие коллектива учреждения в разработке и реализации проектов разного уровня.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Оптимизация функционирования действующей экономической модели учреждения за счёт повышения эффективности использования бюджетных и внебюджетных средств (рост доли доходов от оказания платных дополнительных образовательных услуг, спонсорских и благотворительных поступлений в общем объёме финансовых поступлений). Улучшение материально-технической базы.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Снижение заболеваемости воспитанников, благодаря проектированию и реализации профилактической работы, коррекции нарушений в физическом развитии, приобщение детей к здоровому образу жизни и овладение ими разнообразными видами двигательной активности.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Стабильность медико-педагогического состава детского сада, обеспечение 100% укомплектованности штатов. Достижение такого уровня профессиональной компетентности персонала учреждения, который позволит осуществлять квалифицированное медико-педагогическое сопровождение каждого субъекта образовательного процесса.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Структура программы развития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Характеристика текущего состояния детского сада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Концепция развития детского сада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Ключевые ориентиры программы развития: миссия, цели,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задачи, этапы реализации и ожидаемые результаты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Мероприятия по реализации программы развития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Мониторинг реализации программы развития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Порядок управления реализацией программы развития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Текущее управление программой осуществляется администрацией детского сада. Корректировки  программы осуществляются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старшим воспитателем  МБДОУ  детского сада  «Радуга»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Порядок мониторинга реализации программы развития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Внутренний мониторинг осуществляется ежегодно в мае. Форма – аналитический отчет-справка (анализ работы ДОУ за год) о результатах реализации программы развития. Ответственный – старший воспитатель МБДОУ  детского сада «Радуга».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Ресурсное обеспечение реализации программы развития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 Кадровые ресурсы. На данный момент 50% педагогам присвоена первая квалификационная категория, 0% – высшая. На момент завершения программы доля педагогов с первой квалификационной категорией должна составить 100%, с высшей –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30%.</w:t>
            </w: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 Материально-технические ресурсы. На данный момент образовательная организация полностью укомплектована для реализации образовательных программ дошкольного образования. На момент завершения программы развития детский сад должен создать материально-технические ресурсы для реализации программ дополнительного образования по следующим направлениям: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художественно-эстетическим, экономическим,  физкультурно - спортивным.</w:t>
            </w:r>
          </w:p>
        </w:tc>
      </w:tr>
    </w:tbl>
    <w:p>
      <w:pPr>
        <w:spacing w:before="0" w:beforeAutospacing="0" w:after="0" w:afterAutospacing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1321" w:firstLineChars="55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Механизмы реализации программы развития детского сада:</w:t>
      </w:r>
    </w:p>
    <w:p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 Заключение договоров о сетевой форме реализации образовательной программы с целью повышение качества образовательных, здоровьеформирующих и экономических услуг в учреждении, с учетом возрастных и индивидуальных особенностей детей.</w:t>
      </w:r>
    </w:p>
    <w:p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 Модернизация и цифровизация материально-технических ресурсов с целью обеспечение доступности дошкольного образования, равных стартовых возможностей каждому ребенку дошкольного возраста с учетом потребностей и возможностей социума.</w:t>
      </w:r>
    </w:p>
    <w:p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4. Модернизация системы управления образовательной, инновационной и финансово-экономической деятельностью образовательной организации.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>Введение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Используемые термины и сокращения.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45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Детский сад – МБДОУ  детский сад  «Радуга».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Программа – программа развития детского сада на 2022-2025 годы.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Настоящая Программа разработана на основании приоритетов образовательной политики, закрепленных в документах федерального, регионального и муниципального уровней. Программа представляет собой основной стратегический управленческий документ, регламентирующий и направляющий ход развития детского сада. В программе отражаются системные, целостные изменения в детском саду (инновационный режим), сопровождающиеся проектно-целевым управлением.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Основными функциями настоящей программы развития являются:</w:t>
      </w:r>
    </w:p>
    <w:p>
      <w:pPr>
        <w:numPr>
          <w:ilvl w:val="0"/>
          <w:numId w:val="1"/>
        </w:numPr>
        <w:spacing w:before="0" w:beforeAutospacing="0" w:after="0" w:afterAutospacing="0"/>
        <w:ind w:left="780" w:right="180" w:firstLine="454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организация и координация деятельности детского сада по достижению поставленных перед ним задач;</w:t>
      </w:r>
    </w:p>
    <w:p>
      <w:pPr>
        <w:numPr>
          <w:ilvl w:val="0"/>
          <w:numId w:val="1"/>
        </w:numPr>
        <w:spacing w:before="0" w:beforeAutospacing="0" w:after="0" w:afterAutospacing="0"/>
        <w:ind w:left="780" w:right="180" w:firstLine="454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определение ценностей и целей, на которые направлена программа;</w:t>
      </w:r>
    </w:p>
    <w:p>
      <w:pPr>
        <w:numPr>
          <w:ilvl w:val="0"/>
          <w:numId w:val="1"/>
        </w:numPr>
        <w:spacing w:before="0" w:beforeAutospacing="0" w:after="0" w:afterAutospacing="0"/>
        <w:ind w:left="780" w:right="180" w:firstLine="454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выявление качественных изменений в образовательном процессе посредством контроля и мониторинга хода и результатов реализации программы развития;</w:t>
      </w:r>
    </w:p>
    <w:p>
      <w:pPr>
        <w:numPr>
          <w:ilvl w:val="0"/>
          <w:numId w:val="1"/>
        </w:numPr>
        <w:spacing w:before="0" w:beforeAutospacing="0" w:after="0" w:afterAutospacing="0"/>
        <w:ind w:left="780" w:right="180" w:firstLine="45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интеграция усилий всех участников образовательных отношений, действующих в интересах развития детского сада.</w:t>
      </w:r>
    </w:p>
    <w:p>
      <w:pPr>
        <w:spacing w:before="0" w:beforeAutospacing="0" w:after="0" w:afterAutospacing="0"/>
        <w:ind w:left="780" w:right="18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 xml:space="preserve">Раздел </w:t>
      </w:r>
      <w:r>
        <w:rPr>
          <w:rFonts w:hint="default" w:ascii="Times New Roman" w:hAnsi="Times New Roman" w:cs="Times New Roman"/>
          <w:b/>
          <w:bCs/>
          <w:sz w:val="28"/>
          <w:szCs w:val="24"/>
        </w:rPr>
        <w:t>I</w:t>
      </w: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>. Характеристика текущего состояния детского сада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Информационная справка.</w:t>
      </w: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Дата создания детского сада: 1 октября 1983 года. </w:t>
      </w:r>
    </w:p>
    <w:p>
      <w:pPr>
        <w:spacing w:before="0" w:beforeAutospacing="0" w:after="0" w:afterAutospacing="0"/>
        <w:ind w:firstLine="45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Правоустанавливающие документы детского сада.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Устав. Действующий устав детского сада утвержден постановлением администрации муниципального района  от 18.11.2015 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Лицензия на осуществление образовательной деятельности – от 04.02.2016, серия 17П01 № 0000096,</w:t>
      </w:r>
      <w:r>
        <w:rPr>
          <w:rFonts w:hint="default" w:ascii="Times New Roman" w:hAnsi="Times New Roman" w:cs="Times New Roman"/>
          <w:sz w:val="24"/>
          <w:szCs w:val="24"/>
        </w:rPr>
        <w:t>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регистрационный номер 378 от 04.02.2016г. 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Свидетельство о внесении записи в ЕГРЮЛ. Основной государственный</w:t>
      </w:r>
      <w:r>
        <w:rPr>
          <w:rFonts w:hint="default" w:ascii="Times New Roman" w:hAnsi="Times New Roman" w:cs="Times New Roman"/>
          <w:sz w:val="24"/>
          <w:szCs w:val="24"/>
        </w:rPr>
        <w:t>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регистрационный номер: 1031700552839 за государственным регистрационным номером</w:t>
      </w:r>
      <w:r>
        <w:rPr>
          <w:rFonts w:hint="default" w:ascii="Times New Roman" w:hAnsi="Times New Roman" w:cs="Times New Roman"/>
          <w:sz w:val="24"/>
          <w:szCs w:val="24"/>
        </w:rPr>
        <w:t>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2121720004900.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Свидетельство о регистрации в налоговом органе. Основной государственный</w:t>
      </w:r>
      <w:r>
        <w:rPr>
          <w:rFonts w:hint="default" w:ascii="Times New Roman" w:hAnsi="Times New Roman" w:cs="Times New Roman"/>
          <w:sz w:val="24"/>
          <w:szCs w:val="24"/>
        </w:rPr>
        <w:t>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регистрационный номер 1031700552839 ИНН/КПП 1703002444/170301001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Контакты.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Адрес: 668551,  Тоджинский район ,с Адыр-Кежиг ул:Арат дом 16. Телефон: . Электронный адрес: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raduga.adyrkezhig@mail.ru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2521" w:firstLineChars="105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Условия обучения в детском саду.</w:t>
      </w: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Основной структурной единицей дошкольного образовательного учреждения является группа детей дошкольного возраста. В настоящее время в учреждении функционирует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групп, из них:</w:t>
      </w:r>
    </w:p>
    <w:p>
      <w:pPr>
        <w:numPr>
          <w:ilvl w:val="0"/>
          <w:numId w:val="2"/>
        </w:numPr>
        <w:spacing w:before="0" w:beforeAutospacing="0" w:after="0" w:afterAutospacing="0"/>
        <w:ind w:left="780" w:right="180" w:firstLine="454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 первая младшая группа;</w:t>
      </w:r>
    </w:p>
    <w:p>
      <w:pPr>
        <w:numPr>
          <w:ilvl w:val="0"/>
          <w:numId w:val="2"/>
        </w:numPr>
        <w:spacing w:before="0" w:beforeAutospacing="0" w:after="0" w:afterAutospacing="0"/>
        <w:ind w:left="780" w:right="180" w:firstLine="454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ая вторая младшая  группа;</w:t>
      </w:r>
    </w:p>
    <w:p>
      <w:pPr>
        <w:numPr>
          <w:ilvl w:val="0"/>
          <w:numId w:val="2"/>
        </w:numPr>
        <w:spacing w:before="0" w:beforeAutospacing="0" w:after="0" w:afterAutospacing="0"/>
        <w:ind w:left="780" w:right="180"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средняя группа;</w:t>
      </w:r>
    </w:p>
    <w:p>
      <w:pPr>
        <w:numPr>
          <w:ilvl w:val="0"/>
          <w:numId w:val="2"/>
        </w:numPr>
        <w:spacing w:before="0" w:beforeAutospacing="0" w:after="0" w:afterAutospacing="0"/>
        <w:ind w:left="780" w:right="180"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разновозрастная группа старше-подготовительная;</w:t>
      </w:r>
    </w:p>
    <w:p>
      <w:pPr>
        <w:numPr>
          <w:ilvl w:val="0"/>
          <w:numId w:val="0"/>
        </w:numPr>
        <w:spacing w:before="0" w:beforeAutospacing="0" w:after="0" w:afterAutospacing="0"/>
        <w:ind w:left="1234" w:leftChars="0" w:right="180" w:righ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Режим работы ДОУ: с 7.30 до 18.00. Выходные дни: суббота, воскресенье, праздничные дни.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Материально-техническая база. Имеется кабинет заведующего, медицинский кабинет, изолятор, методический кабинет,   пищеблок, 4  групповых комнат, кухня. прачечная, подсобные кладовые.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Помещение детского сада находится в отдельно стоящем типовом одноэтажном здании. Имеется собственная территория для прогулок, 4 обустроенных прогулочных веранд.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Основным направлением деятельности детского сада</w:t>
      </w:r>
      <w:r>
        <w:rPr>
          <w:rFonts w:hint="default" w:ascii="Times New Roman" w:hAnsi="Times New Roman" w:cs="Times New Roman"/>
          <w:sz w:val="24"/>
          <w:szCs w:val="24"/>
        </w:rPr>
        <w:t>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является реализация ООП ДО в группах общеобразовательной направленности.</w:t>
      </w:r>
    </w:p>
    <w:p>
      <w:pPr>
        <w:spacing w:before="0" w:beforeAutospacing="0" w:after="0" w:afterAutospacing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Кадровая характеристика.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На момент написания программы развития общее количество педагогических работников –12 человек (заведующий детским садом, 1 старший воспитатель, 8 воспитателей, 1 музыкальный руководитель, 1 руководитель  по физическому воспитанию).</w:t>
      </w:r>
    </w:p>
    <w:p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Работник с медицинским образованием – 1 человек.</w:t>
      </w:r>
    </w:p>
    <w:p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Укомплектованность кадрами:</w:t>
      </w:r>
    </w:p>
    <w:p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воспитателями – на 100%;</w:t>
      </w:r>
    </w:p>
    <w:p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младшими воспитателями – на 100%;</w:t>
      </w:r>
    </w:p>
    <w:p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обслуживающим персоналом – 100%.</w:t>
      </w:r>
    </w:p>
    <w:p>
      <w:pPr>
        <w:spacing w:before="0" w:beforeAutospacing="0" w:after="0" w:afterAutospacing="0"/>
        <w:rPr>
          <w:rFonts w:hint="default" w:ascii="Times New Roman" w:hAnsi="Times New Roman" w:cs="Times New Roman"/>
          <w:b/>
          <w:sz w:val="28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sz w:val="28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4"/>
        </w:rPr>
        <w:t>Сведения о работниках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sz w:val="28"/>
          <w:szCs w:val="24"/>
          <w:lang w:val="ru-RU"/>
        </w:rPr>
      </w:pPr>
    </w:p>
    <w:tbl>
      <w:tblPr>
        <w:tblStyle w:val="4"/>
        <w:tblW w:w="985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6"/>
        <w:gridCol w:w="3402"/>
        <w:gridCol w:w="31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Образование,</w:t>
            </w:r>
          </w:p>
          <w:p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кол-во работников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Наличие квалификационных категорий, кол-во работников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Стаж работы, </w:t>
            </w:r>
          </w:p>
          <w:p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кол-во работников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Высшее – 5 чел.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Среднее специальное –  4 чел.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Обучаются в ВУЗах – 3 чел.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Высшая – 0 чел.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Первая – 5 чел.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Без категории – 7 чел.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 5 лет –  5 чел. (7%)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 – 10 лет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–  4 чел. (13%)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Свыше 14 лет – 3 чел.(80%)</w:t>
            </w:r>
          </w:p>
        </w:tc>
      </w:tr>
    </w:tbl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2241" w:firstLineChars="800"/>
        <w:jc w:val="both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 xml:space="preserve">Раздел </w:t>
      </w:r>
      <w:r>
        <w:rPr>
          <w:rFonts w:hint="default" w:ascii="Times New Roman" w:hAnsi="Times New Roman" w:cs="Times New Roman"/>
          <w:b/>
          <w:bCs/>
          <w:sz w:val="28"/>
          <w:szCs w:val="24"/>
        </w:rPr>
        <w:t>II</w:t>
      </w: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>. Концепция развития детского сада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Актуальность разработки программы развития обусловлена модернизацией системы образования Российской Федерации, а именно выход новых нормативных документов, диктующих основные положения и нормы функционирования современного детского сада.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Ключевая идея развития детского сада ориентирует коллектив на создание качественного образовательного пространства, способствующего развитию и саморазвитию всех участников образовательного процесса: педагогов, воспитанников и их родителей (законных представителей).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Качественное внедрение ФГОС ДО в образовательном процессе требует комплекса мероприятий по обновлению содержания и выбору технологий в образовательный процесс. Предстоит дальнейшая работа по перестроению сознания педагогов с учебно-дисциплинарной модели построения образовательного процесса и общения с детьми на модель личностно-ориентированную.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Существенные изменения в системе образования требуют изменений в квалификационном уровне педагогов. Современный педагог должен обладать многими качествами: компетентность, творчество, гуманность, нравственность, обладать точными знаниями современных педагогических технологий и умело их применять в своей работе.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Основной вектор деятельности детского сада направлен на развитие индивидуальных личностных ресурсов ребенка, его творческих способностей и ведущих психических качеств. Личностно-ориентированный подход в центр образовательной системы ставит личность ребёнка, обеспечение комфортных, бесконфликтных и безопасных условий ее развития, реализации ее природных потенциалов. Эту тенденцию учитывает и рабочая программа воспитания, на основе которой детский сад ежегодно разрабатывает календарный план воспитательной работы. Рабочая программа воспитания и календарный план воспитательной работы являются составными частями ООП ДО.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целью успешной реализации основных направлений развития детского сада до 2025 года работники проходят повышение квалификации в соответствии с разделом программы «Мероприятия по улучшению кадрового состава».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 xml:space="preserve">Раздел </w:t>
      </w:r>
      <w:r>
        <w:rPr>
          <w:rFonts w:hint="default" w:ascii="Times New Roman" w:hAnsi="Times New Roman" w:cs="Times New Roman"/>
          <w:b/>
          <w:bCs/>
          <w:sz w:val="28"/>
          <w:szCs w:val="24"/>
        </w:rPr>
        <w:t>III</w:t>
      </w: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>. Ключевые ориентиры Программы развития: миссия, цели, задачи, этапы реализации и</w:t>
      </w:r>
      <w:r>
        <w:rPr>
          <w:rFonts w:hint="default" w:ascii="Times New Roman" w:hAnsi="Times New Roman" w:cs="Times New Roman"/>
          <w:b/>
          <w:bCs/>
          <w:sz w:val="28"/>
          <w:szCs w:val="24"/>
        </w:rPr>
        <w:t> </w:t>
      </w: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>ожидаемые результаты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Миссия детского сада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заключается в создании условий, обеспечивающих высокое качество результатов образовательного процесса по формированию ключевых компетенций дошкольников, опираясь на личностно-ориентированную модель взаимодействия взрослого и ребенка с учетом его психофизиологических особенностей и индивидуальных способностей.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Ключевые приоритеты развития детского сада до 2025 года:</w:t>
      </w:r>
    </w:p>
    <w:p>
      <w:pPr>
        <w:numPr>
          <w:ilvl w:val="0"/>
          <w:numId w:val="4"/>
        </w:numPr>
        <w:spacing w:before="0" w:beforeAutospacing="0" w:after="0" w:afterAutospacing="0"/>
        <w:ind w:left="780" w:right="180" w:firstLine="454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эффективная реализация комплексной программы развития, воспитания и укрепления здоровья детей раннего и дошкольного возраста, обеспечивающую условия для развития способностей ребенка,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</w:t>
      </w:r>
    </w:p>
    <w:p>
      <w:pPr>
        <w:numPr>
          <w:ilvl w:val="0"/>
          <w:numId w:val="4"/>
        </w:numPr>
        <w:spacing w:before="0" w:beforeAutospacing="0" w:after="0" w:afterAutospacing="0"/>
        <w:ind w:left="780" w:right="180" w:firstLine="454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уточнение критериев оценки образовательной деятельности детей через поэтапное введение интегральной системы оценивания, внедрение современных методик определения результативности в развитии детей;</w:t>
      </w:r>
    </w:p>
    <w:p>
      <w:pPr>
        <w:numPr>
          <w:ilvl w:val="0"/>
          <w:numId w:val="4"/>
        </w:numPr>
        <w:spacing w:before="0" w:beforeAutospacing="0" w:after="0" w:afterAutospacing="0"/>
        <w:ind w:left="780" w:right="180" w:firstLine="454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обеспечение преемственности дошкольного и начального общего образования, преемственности дошкольного, дополнительного и семейного образования, интеграции всех служб детского сада в вопросах развития детей;</w:t>
      </w:r>
    </w:p>
    <w:p>
      <w:pPr>
        <w:numPr>
          <w:ilvl w:val="0"/>
          <w:numId w:val="4"/>
        </w:numPr>
        <w:spacing w:before="0" w:beforeAutospacing="0" w:after="0" w:afterAutospacing="0"/>
        <w:ind w:left="780" w:right="180" w:firstLine="454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расширение участия коллектива, родительского актива и представителей социума в выработке, принятии и реализации правовых и управленческих решений относительно деятельности детского сада;</w:t>
      </w:r>
    </w:p>
    <w:p>
      <w:pPr>
        <w:numPr>
          <w:ilvl w:val="0"/>
          <w:numId w:val="4"/>
        </w:numPr>
        <w:spacing w:before="0" w:beforeAutospacing="0" w:after="0" w:afterAutospacing="0"/>
        <w:ind w:left="780" w:right="180" w:firstLine="454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создание системы поддержки способных и одаренных детей и педагогов через конкурсы разного уровня, проектную деятельность;</w:t>
      </w:r>
    </w:p>
    <w:p>
      <w:pPr>
        <w:numPr>
          <w:ilvl w:val="0"/>
          <w:numId w:val="4"/>
        </w:numPr>
        <w:spacing w:before="0" w:beforeAutospacing="0" w:after="0" w:afterAutospacing="0"/>
        <w:ind w:left="780" w:right="180" w:firstLine="454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усиление роли комплексного психолого-педагогического сопровождения всех субъектов образовательного процесса;</w:t>
      </w:r>
    </w:p>
    <w:p>
      <w:pPr>
        <w:numPr>
          <w:ilvl w:val="0"/>
          <w:numId w:val="4"/>
        </w:numPr>
        <w:spacing w:before="0" w:beforeAutospacing="0" w:after="0" w:afterAutospacing="0"/>
        <w:ind w:left="780" w:right="180" w:firstLine="45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повышение профессионального мастерства педагогов.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Целью программы является повышение конкурентных преимуществ детского сада в условиях быстро меняющейся экономико-правовой среды.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Указанная цель будет достигнута в процессе решения следующих задач:</w:t>
      </w:r>
    </w:p>
    <w:p>
      <w:pPr>
        <w:numPr>
          <w:ilvl w:val="0"/>
          <w:numId w:val="5"/>
        </w:numPr>
        <w:spacing w:before="0" w:beforeAutospacing="0" w:after="0" w:afterAutospacing="0"/>
        <w:ind w:left="780" w:right="180" w:firstLine="454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внедрение в практику детского сада новых форм работы с воспитанниками, в том числе цифровых;</w:t>
      </w:r>
    </w:p>
    <w:p>
      <w:pPr>
        <w:numPr>
          <w:ilvl w:val="0"/>
          <w:numId w:val="5"/>
        </w:numPr>
        <w:spacing w:before="0" w:beforeAutospacing="0" w:after="0" w:afterAutospacing="0"/>
        <w:ind w:left="780" w:right="180" w:firstLine="454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развитие сетевого взаимодействия со спортивными организациями и организациями сферы культуры;</w:t>
      </w:r>
    </w:p>
    <w:p>
      <w:pPr>
        <w:numPr>
          <w:ilvl w:val="0"/>
          <w:numId w:val="5"/>
        </w:numPr>
        <w:spacing w:before="0" w:beforeAutospacing="0" w:after="0" w:afterAutospacing="0"/>
        <w:ind w:left="780" w:right="180" w:firstLine="454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мониторинг процесса реализации ФГОС ДО в детском саду;</w:t>
      </w:r>
    </w:p>
    <w:p>
      <w:pPr>
        <w:numPr>
          <w:ilvl w:val="0"/>
          <w:numId w:val="5"/>
        </w:numPr>
        <w:spacing w:before="0" w:beforeAutospacing="0" w:after="0" w:afterAutospacing="0"/>
        <w:ind w:left="780" w:right="180" w:firstLine="454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повышение качества работы с одаренными детьми;</w:t>
      </w:r>
    </w:p>
    <w:p>
      <w:pPr>
        <w:numPr>
          <w:ilvl w:val="0"/>
          <w:numId w:val="5"/>
        </w:numPr>
        <w:spacing w:before="0" w:beforeAutospacing="0" w:after="0" w:afterAutospacing="0"/>
        <w:ind w:left="780" w:right="180" w:firstLine="45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реализация программы здоровьесбережения воспитанников.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Этапы реализации: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Первый этап реализации Программы развития: разработка документов, направленных на методическое, кадровое и информационное обеспечение развития детского сада, организацию промежуточного и итогового мониторинга реализации программы.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Второй этап реализации программы развития: реализация мероприятий, направленных на достижение результатов программы, промежуточный мониторинг реализации мероприятий программы, коррекция программы.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Третий этап реализации программы развития: 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развития. Подведение итогов и постановка новых стратегических задач развития.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8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 xml:space="preserve">Раздел </w:t>
      </w:r>
      <w:r>
        <w:rPr>
          <w:rFonts w:hint="default" w:ascii="Times New Roman" w:hAnsi="Times New Roman" w:cs="Times New Roman"/>
          <w:b/>
          <w:bCs/>
          <w:sz w:val="28"/>
          <w:szCs w:val="24"/>
        </w:rPr>
        <w:t>IV</w:t>
      </w: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>.</w:t>
      </w:r>
      <w:r>
        <w:rPr>
          <w:rFonts w:hint="default" w:ascii="Times New Roman" w:hAnsi="Times New Roman" w:cs="Times New Roman"/>
          <w:b/>
          <w:bCs/>
          <w:sz w:val="28"/>
          <w:szCs w:val="24"/>
        </w:rPr>
        <w:t> </w:t>
      </w: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>Мероприятия по реализации программы развития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>Мероприятия по организации здоровьесберегающей и здоровьеформирующей деятельности</w:t>
      </w: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Вызов среды. Проблема.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Все чаще в детский сад поступают дети, имеющие помимо предрасположенности к простудным заболеваниям,требующие повышенного внимания, консультаций специалистов.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Рост числа взрослых (родителей воспитанников) с низким уровнем культуры здоровья, проявляющих инертность введении здорового образа жизни.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Хотя физкультурно-оздоровительная и лечебно-профилактическая работа детского сада и ведутся в системе, но требуют серьезной коррекции мониторинга здоровьесберегающей и здоровьеформирующей деятельности детского сада и взаимодействия с социумом в вопросах поддержания и укрепления здоровья всех участников образовательного процесса.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3242" w:firstLineChars="135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Перспективы развития.</w:t>
      </w:r>
    </w:p>
    <w:p>
      <w:pPr>
        <w:spacing w:before="0" w:beforeAutospacing="0" w:after="0" w:afterAutospacing="0"/>
        <w:ind w:firstLine="454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Разработка программы психолого-педагогической поддержки семьи и повышения компетенции родителей в вопросах развития и образования, охраны и укрепления здоровья детей, организация коррекционной работы с детьми, ведение инновационной деятельности учреждения в данном направлении. Это поможет, в конечном счете, добиться стабильной положительной динамики в вопросах поддержания и укрепления здоровья подрастающего поколения, приобщения к здоровому образу жизни заинтересованного взрослого населения.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454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Возможные риски.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Потенциальные потребители образовательных услуг могут недооценивать значимость физкультурно-оздоровительной работы дошкольников, предпочитая посещение дополнительных занятий художественно-эстетического и познавательного циклов.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before="0" w:beforeAutospacing="0" w:after="0" w:afterAutospacing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sectPr>
          <w:pgSz w:w="11907" w:h="16839"/>
          <w:pgMar w:top="567" w:right="851" w:bottom="567" w:left="1701" w:header="720" w:footer="720" w:gutter="0"/>
          <w:cols w:space="720" w:num="1"/>
        </w:sect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>Мероприятия по периодам реализации программы</w:t>
      </w: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tbl>
      <w:tblPr>
        <w:tblStyle w:val="4"/>
        <w:tblW w:w="13486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8"/>
        <w:gridCol w:w="4978"/>
        <w:gridCol w:w="45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Первый этап (202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-2022 гг.)</w:t>
            </w:r>
          </w:p>
        </w:tc>
        <w:tc>
          <w:tcPr>
            <w:tcW w:w="4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Второй этап (2022-202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гг.)</w:t>
            </w: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Третий этап (202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– 202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гг.)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 Мониторинг качества здоровьесберегающей и здоровьеформирующей деятельности в учреждении.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 Создание условий для оптимизации системы физкультурно-оздоровительной работы в детском саду.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 Создание условий для осуществления в детском саду работы по профилактике заболеваний, пропаганде здорового образа жизни.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 Совершенствование системы мониторинга качества здоровьесберегающей и здоровьеформирующей деятельности учреждения.</w:t>
            </w:r>
          </w:p>
        </w:tc>
        <w:tc>
          <w:tcPr>
            <w:tcW w:w="4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 Совершенствование структуры и внедрение в практику детского сада программы по формированию культуры здорового и безопасного образа жизни детей дошкольного возраста и индивидуальной работы с детьми по поддержанию и укрепления здоровья детей раннего и дошкольного возраста.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 Организация распространения положительного опыта по формированию культуры здорового и безопасного образа жизни, здоровьесберегающей и здоровьеформирующей деятельности учреждения и семей воспитанников.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 Разработка и реализация комплексного плана профилактики возникновения у воспитанников вредных привычек, формирования у них культуры здоровья. Организация межведомственного взаимодействия в этом направлении.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 Разработка совместных планов работы с учреждениями здравоохранения.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5. Реализация системы мероприятий, направленных на укрепление здоровья, снижения заболеваемости работников детского сада.</w:t>
            </w: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 Комплексная оценка эффективности формирования культуры здорового и безопасного образа жизни, здоровьесберегающей и здоровьеформирующей деятельности детского сада.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 Транслирование опыта работы дошкольной организации в вопросах приобщения детей и взрослых к культуре здоровья через систематический выпуск буклетов и информационных листовок и их распространение.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 Мониторинг эффективности работы по профилактике заболеваний и асоциального поведения среди выпускников детского сада, целесообразности работы по профилактике ценностей здорового образа жизни.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 Разработка и реализация проектов по формированию культуры здоровья и безопасного образа жизни, здоровьесберегающей и здоровьеформирующей направленности.</w:t>
            </w:r>
          </w:p>
        </w:tc>
      </w:tr>
    </w:tbl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sectPr>
          <w:pgSz w:w="16839" w:h="11907" w:orient="landscape"/>
          <w:pgMar w:top="851" w:right="567" w:bottom="1701" w:left="567" w:header="720" w:footer="720" w:gutter="0"/>
          <w:cols w:space="720" w:num="1"/>
        </w:sect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>Мероприятия по улучшению кадрового состава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Вызов среды. Проблема.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Обостряется проблема профессионального выгорания педагогических кадров.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Инертность, недостаточно высокий уровень аналитико-прогностических и проектировочных умений ряда педагогов не позволяет им достойно представить опыт своей работы.</w:t>
      </w: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Часть педагогов имеют потенциал к работе в инновационном режиме, они участвуют в работе временных творческих групп, участвуют в конкурсах профессионального мастерства, обобщают свой опыт работы, внедряют в образовательный процесс новинки педагогической науки и практики. Именно эти педагоги, готовые к повышению своей компетентности, аттестации на более высокую квалификационную категорию, смогут составить инновационный стержень учреждения и, как следствие, обеспечить максимально возможное качество образовательной услуги.</w:t>
      </w:r>
    </w:p>
    <w:p>
      <w:pPr>
        <w:spacing w:before="0" w:beforeAutospacing="0" w:after="0" w:afterAutospacing="0"/>
        <w:ind w:firstLine="454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454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sectPr>
          <w:pgSz w:w="11907" w:h="16839"/>
          <w:pgMar w:top="567" w:right="851" w:bottom="567" w:left="1701" w:header="720" w:footer="720" w:gutter="0"/>
          <w:cols w:space="720" w:num="1"/>
        </w:sect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>Мероприятия по периодам реализации программы</w:t>
      </w: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tbl>
      <w:tblPr>
        <w:tblStyle w:val="4"/>
        <w:tblW w:w="1268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21"/>
        <w:gridCol w:w="20"/>
        <w:gridCol w:w="4232"/>
        <w:gridCol w:w="21"/>
        <w:gridCol w:w="439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Первый этап (202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-2022гг.)</w:t>
            </w:r>
          </w:p>
        </w:tc>
        <w:tc>
          <w:tcPr>
            <w:tcW w:w="42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Второй этап (202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гг.)</w:t>
            </w:r>
          </w:p>
        </w:tc>
        <w:tc>
          <w:tcPr>
            <w:tcW w:w="4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Третий этап (202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– 202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гг.)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 Анализ актуального состояния кадровой обстановки в учреждении.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 Разработка комплексного поэтапного плана по повышению профессиональной компетентности медико-педагогического и обслуживающего персонала в условиях реализации ФГОС ДО.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 Разработка стратегии повышения привлекательности учреждения для молодых специалистов.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 Пересмотр содержания Правил внутреннего трудового распорядка, Коллективного договора детского сада.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5. Создание условий для составления портфолио каждого педагога образовательного учреждения, как формы обобщения опыта педагогической деятельности.</w:t>
            </w:r>
          </w:p>
        </w:tc>
        <w:tc>
          <w:tcPr>
            <w:tcW w:w="42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 Реализация плана мотивирования и стимулирования инновационной деятельности и проектной культуры педагогов, профилактики профессионального выгорания, стремления к повышению своей квалификации.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 Организация межведомственного взаимодействия, создание системы социального партнерства с организациями образования..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 Обеспечение научно-методического сопровождения образовательного, оздоровительного и коррекционного процессов в рамках ФГОС ДО, осуществления исследовательской и проектной деятельности педагогов.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 Осуществление комплекса социально-направленных мероприятий с целью создания положительной мотивации труда у сотрудников.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5. Осуществление портфолизации достижений каждого педагога в соответствии с ФГОС ДО.</w:t>
            </w:r>
          </w:p>
        </w:tc>
        <w:tc>
          <w:tcPr>
            <w:tcW w:w="4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 Комплексная оценка эффективности введения профессионального стандарта педагога.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 Определение перспективных направлений деятельности детского сада по повышению профессионального уровня работников.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 Выявление, обобщение и транслирование передового педагогического опыта на разных уровнях через конкурсы профессионального мастерства, участие в конференциях, публикации в СМИ, сайте детского сада, проектную деятельность и т.д.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 Анализ эффективности мероприятий, направленных на социальную защищенность работников детского сада.</w:t>
            </w:r>
          </w:p>
        </w:tc>
      </w:tr>
    </w:tbl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sectPr>
          <w:pgSz w:w="16839" w:h="11907" w:orient="landscape"/>
          <w:pgMar w:top="851" w:right="567" w:bottom="1701" w:left="567" w:header="720" w:footer="720" w:gutter="0"/>
          <w:cols w:space="720" w:num="1"/>
        </w:sect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>Мероприятия по материально-технической модернизации детского сада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8"/>
          <w:szCs w:val="24"/>
          <w:lang w:val="ru-RU"/>
        </w:rPr>
      </w:pPr>
    </w:p>
    <w:p>
      <w:pPr>
        <w:spacing w:before="0" w:beforeAutospacing="0" w:after="0" w:afterAutospacing="0"/>
        <w:ind w:left="780" w:right="180" w:firstLine="454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Перспективы развития.</w:t>
      </w: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45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Налаживание связей со СМИ будет способствовать повышению имиджа учреждения среди заинтересованного населения; обеспечит возможность для транслирования передового педагогического опыта работников детского сада в области дошкольного образования.</w:t>
      </w:r>
    </w:p>
    <w:p>
      <w:pPr>
        <w:spacing w:before="0" w:beforeAutospacing="0" w:after="0" w:afterAutospacing="0"/>
        <w:ind w:firstLine="45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Использование ИКТ в образовательном процессе позволит перевести его на более высокий качественный уровень.</w:t>
      </w: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sectPr>
          <w:pgSz w:w="11907" w:h="16839"/>
          <w:pgMar w:top="567" w:right="851" w:bottom="567" w:left="1701" w:header="720" w:footer="720" w:gutter="0"/>
          <w:cols w:space="720" w:num="1"/>
        </w:sect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>Мероприятия по периодам реализации программы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tbl>
      <w:tblPr>
        <w:tblStyle w:val="4"/>
        <w:tblW w:w="1443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50"/>
        <w:gridCol w:w="4395"/>
        <w:gridCol w:w="36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Первый этап (202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-2022 гг.)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Второй этап (2022-202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гг.)</w:t>
            </w:r>
          </w:p>
        </w:tc>
        <w:tc>
          <w:tcPr>
            <w:tcW w:w="3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Третий этап (202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– 202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гг.)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 Создание системы условий, обеспечивающей всю полноту развития детской деятельности и личности ребенка, включающей ряд базовых компонентов, необходимых для полноценного физического, эстетического, познавательного, речевого и социального развития детей.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 Анализ степени удовлетворенности родителей качеством образовательных услуг, предоставляемых детским садом и повышение престижа дошкольного учреждения среди потенциальных потребителей образовательных услуг (в рамках социологического мониторинга):</w:t>
            </w:r>
          </w:p>
          <w:p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анкетирование;</w:t>
            </w:r>
          </w:p>
          <w:p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выпуск рекламных буклетов и информационных листовок;</w:t>
            </w:r>
          </w:p>
          <w:p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организация дней открытых дверей;</w:t>
            </w:r>
          </w:p>
          <w:p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проведение досуговых и информационно-просветительских мероприятий для родителей;</w:t>
            </w:r>
          </w:p>
          <w:p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трансляция передового опыта детского сада через СМИ, сеть Интернет.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 Организация межведомственного взаимодействия с целью повышения качества работы с родителями. Заключение договоров о сотрудничестве и планов взаимодействия с МБОУ СОШ Адыр Кежига, детской библиотекой и др. организациями.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 Работы по обновлению предметно-пространственной среды и материально-технической базы детского сада за счет различных источников финансирования.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 Дифференцированная работы с семьями воспитанников и родителями, с детьми раннего и дошкольного возраста: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по повышению педагогической и валеологической культуры молодых родителей;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повышение престижа детского сада среди заинтересованного населения при помощи досуговой деятельности.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 Повышение престижа детского сада среди заинтересованного населения через налаживание связей со СМИ (публикации, репортажи), полиграфическими организациями (буклеты, листовки), сетью Интернет (совершенствование работы официального сайта организации), портфолизации воспитанников и детского сада в целом.</w:t>
            </w:r>
          </w:p>
        </w:tc>
        <w:tc>
          <w:tcPr>
            <w:tcW w:w="3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 Анализ эффективности внедрения ресурсосберегающих технологий.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 Мониторинг престижности дошкольной образовательной организации среди родителей с детьми раннего и дошкольного возраста.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 Комплексная оценка эффективности реализации программы психолого-педагогической поддержки семьи и повышения компетенции родителей в вопросах развития и обучения, охраны и укрепления здоровья детей.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 Поддерживание положительного имиджа детского сада, обеспечение возможности для транслирования передового педагогического опыта работников детского сада в области дошкольного образования.</w:t>
            </w:r>
          </w:p>
        </w:tc>
      </w:tr>
    </w:tbl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sectPr>
          <w:pgSz w:w="16839" w:h="11907" w:orient="landscape"/>
          <w:pgMar w:top="851" w:right="567" w:bottom="1701" w:left="567" w:header="720" w:footer="720" w:gutter="0"/>
          <w:cols w:space="720" w:num="1"/>
        </w:sect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 xml:space="preserve">Мероприятия по актуализации 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>локальных нормативных актов детского сада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8"/>
          <w:szCs w:val="24"/>
          <w:lang w:val="ru-RU"/>
        </w:rPr>
      </w:pP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Перспективы развития.</w:t>
      </w:r>
    </w:p>
    <w:p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Надо создать рабочую группу для актуализации локальных нормативных актов детского сада в составе: заведующего, старшего воспитателя и делопроизводителя. Поручить членам рабочей группе провести ревизию локальных нормативных актов детского сада и подготовить проекты их изменений. Срок – до марта 2023 года.</w:t>
      </w:r>
    </w:p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>Мероприятия по цифровизации детского сада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Вызов среды. Проблема.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каждым годом цифровые технологии становятся все доступнее и совершеннее. Дети включаются в цифровой мир почти с рождения. При актуальной цифровизации образовательной среды и всей работы детского сада важно сохранить сенсорное развитие ребенка как первую чувственную ступень познания окружающего мира и формирования мышления.</w:t>
      </w:r>
    </w:p>
    <w:p>
      <w:pPr>
        <w:spacing w:before="0" w:beforeAutospacing="0" w:after="0" w:afterAutospacing="0"/>
        <w:ind w:firstLine="454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454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Перспективы развития.</w:t>
      </w:r>
    </w:p>
    <w:p>
      <w:pPr>
        <w:spacing w:before="0" w:beforeAutospacing="0" w:after="0" w:afterAutospacing="0"/>
        <w:ind w:firstLine="454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ind w:firstLine="45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современных условиях первоочередным становится цифровое развитие педагога, который взаимодействует с детьми, совершенствование технической базы дошкольной организации для упрощения и повышения эффективности ее работы. В связи с этим детский сад планирует принять участие в федеральном проекте «Цифровая образовательная среда»: обновить компьютерное оборудование и повысить квалификацию работников до декабря 2025 года.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 xml:space="preserve">Раздел </w:t>
      </w:r>
      <w:r>
        <w:rPr>
          <w:rFonts w:hint="default" w:ascii="Times New Roman" w:hAnsi="Times New Roman" w:cs="Times New Roman"/>
          <w:b/>
          <w:bCs/>
          <w:sz w:val="28"/>
          <w:szCs w:val="24"/>
        </w:rPr>
        <w:t>IV</w:t>
      </w:r>
      <w:r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  <w:t>. Мониторинг реализации программы развития</w:t>
      </w:r>
    </w:p>
    <w:p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b/>
          <w:bCs/>
          <w:sz w:val="28"/>
          <w:szCs w:val="24"/>
          <w:lang w:val="ru-RU"/>
        </w:rPr>
      </w:pPr>
    </w:p>
    <w:tbl>
      <w:tblPr>
        <w:tblStyle w:val="4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2"/>
        <w:gridCol w:w="53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53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Критерии эффективности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Улучшение качества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предоставляемых образовательных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услуг через обновление структуры и содержания образовательного процесса с учетом внедрения инновационных подходов</w:t>
            </w:r>
          </w:p>
        </w:tc>
        <w:tc>
          <w:tcPr>
            <w:tcW w:w="53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Устойчивая положительная динамика образовательных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достижений воспитанников и состояния их здоровья. Рост удовлетворенности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родителей учащихся качеством образовательных услуг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 результатам анкетирования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Повышение эффективности психолого-педагогической помощи детского сада</w:t>
            </w:r>
          </w:p>
        </w:tc>
        <w:tc>
          <w:tcPr>
            <w:tcW w:w="53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Стабильная положительная динамика в вопросах поддержания и укрепления здоровья подрастающего поколения, приобщения к здоровому образу жизни заинтересованного взрослого населения.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Интеграции детей с различным состоянием здоровья, уровнем развития, степенью адаптированности в условиях дифференцированных микрогрупп для достижения максимального качества образовательного процесса.</w:t>
            </w: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Создания целостной системы, в которой все этапы работы с ребенком, были бы взаимосвязаны.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Дальнейшая информатизация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образовательного процесса и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управления</w:t>
            </w:r>
          </w:p>
        </w:tc>
        <w:tc>
          <w:tcPr>
            <w:tcW w:w="53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Увеличение доли использования ИКТ-инструментов 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образовательном процессе и администрировании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Расширение перечня образовательных возможностей, социально-образовательных партнерств</w:t>
            </w:r>
          </w:p>
        </w:tc>
        <w:tc>
          <w:tcPr>
            <w:tcW w:w="53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Детский сад налаживает сетевое взаимодействие с другими организациями для образовательного и иных видов сотрудничества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Повышение эффективности системы по работе с одаренными и талантливыми детьми</w:t>
            </w:r>
          </w:p>
        </w:tc>
        <w:tc>
          <w:tcPr>
            <w:tcW w:w="53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Повышение результативности по выявлению, поддержке и сопровождению одаренных детей и рост результативности интеллектуально-творческих достижений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Модернизация образовательной среды: пополнение материально-технических ресурсов детского сада современным учебным компьютерным оборудованием и программным обеспечением</w:t>
            </w:r>
          </w:p>
        </w:tc>
        <w:tc>
          <w:tcPr>
            <w:tcW w:w="53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Увеличение доли современного учебного ИКТ-оборудования и программного обеспечения</w:t>
            </w:r>
          </w:p>
        </w:tc>
      </w:tr>
    </w:tbl>
    <w:p>
      <w:pP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ascii="PT Astra Serif" w:hAnsi="PT Astra Serif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ascii="PT Astra Serif" w:hAnsi="PT Astra Serif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ascii="PT Astra Serif" w:hAnsi="PT Astra Serif" w:cs="Times New Roman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ascii="PT Astra Serif" w:hAnsi="PT Astra Serif" w:cs="Times New Roman"/>
          <w:sz w:val="24"/>
          <w:szCs w:val="24"/>
          <w:lang w:val="ru-RU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  <w:rPr>
          <w:rFonts w:hint="default" w:eastAsia="sans-serif" w:cs="Times New Roman" w:asciiTheme="minorAscii" w:hAnsiTheme="minorAscii"/>
          <w:b/>
          <w:bCs/>
          <w:i w:val="0"/>
          <w:iCs w:val="0"/>
          <w:caps w:val="0"/>
          <w:color w:val="666666"/>
          <w:spacing w:val="0"/>
          <w:sz w:val="22"/>
          <w:szCs w:val="22"/>
          <w:shd w:val="clear" w:fill="FFFFFF"/>
          <w:vertAlign w:val="baseline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  <w:rPr>
          <w:rFonts w:hint="default" w:eastAsia="sans-serif" w:cs="Times New Roman" w:asciiTheme="minorAscii" w:hAnsiTheme="minorAscii"/>
          <w:b/>
          <w:bCs/>
          <w:i w:val="0"/>
          <w:iCs w:val="0"/>
          <w:caps w:val="0"/>
          <w:color w:val="666666"/>
          <w:spacing w:val="0"/>
          <w:sz w:val="22"/>
          <w:szCs w:val="22"/>
          <w:shd w:val="clear" w:fill="FFFFFF"/>
          <w:vertAlign w:val="baseline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  <w:rPr>
          <w:rFonts w:hint="default" w:eastAsia="sans-serif" w:cs="Times New Roman" w:asciiTheme="minorAscii" w:hAnsiTheme="minorAscii"/>
          <w:b/>
          <w:bCs/>
          <w:i w:val="0"/>
          <w:iCs w:val="0"/>
          <w:caps w:val="0"/>
          <w:color w:val="666666"/>
          <w:spacing w:val="0"/>
          <w:sz w:val="22"/>
          <w:szCs w:val="22"/>
          <w:shd w:val="clear" w:fill="FFFFFF"/>
          <w:vertAlign w:val="baseline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  <w:rPr>
          <w:rFonts w:hint="default" w:eastAsia="sans-serif" w:cs="Times New Roman" w:asciiTheme="minorAscii" w:hAnsiTheme="minorAscii"/>
          <w:b/>
          <w:bCs/>
          <w:i w:val="0"/>
          <w:iCs w:val="0"/>
          <w:caps w:val="0"/>
          <w:color w:val="666666"/>
          <w:spacing w:val="0"/>
          <w:sz w:val="22"/>
          <w:szCs w:val="22"/>
          <w:shd w:val="clear" w:fill="FFFFFF"/>
          <w:vertAlign w:val="baseline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  <w:rPr>
          <w:rFonts w:hint="default" w:eastAsia="sans-serif" w:cs="Times New Roman" w:asciiTheme="minorAscii" w:hAnsiTheme="minorAscii"/>
          <w:b/>
          <w:bCs/>
          <w:i w:val="0"/>
          <w:iCs w:val="0"/>
          <w:caps w:val="0"/>
          <w:color w:val="666666"/>
          <w:spacing w:val="0"/>
          <w:sz w:val="22"/>
          <w:szCs w:val="22"/>
          <w:shd w:val="clear" w:fill="FFFFFF"/>
          <w:vertAlign w:val="baseline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  <w:rPr>
          <w:rFonts w:hint="default" w:eastAsia="sans-serif" w:cs="Times New Roman" w:asciiTheme="minorAscii" w:hAnsiTheme="minorAscii"/>
          <w:b/>
          <w:bCs/>
          <w:i w:val="0"/>
          <w:iCs w:val="0"/>
          <w:caps w:val="0"/>
          <w:color w:val="666666"/>
          <w:spacing w:val="0"/>
          <w:sz w:val="22"/>
          <w:szCs w:val="22"/>
          <w:shd w:val="clear" w:fill="FFFFFF"/>
          <w:vertAlign w:val="baseline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  <w:rPr>
          <w:rFonts w:hint="default" w:eastAsia="sans-serif" w:cs="Times New Roman" w:asciiTheme="minorAscii" w:hAnsiTheme="minorAscii"/>
          <w:b/>
          <w:bCs/>
          <w:i w:val="0"/>
          <w:iCs w:val="0"/>
          <w:caps w:val="0"/>
          <w:color w:val="666666"/>
          <w:spacing w:val="0"/>
          <w:sz w:val="22"/>
          <w:szCs w:val="22"/>
          <w:shd w:val="clear" w:fill="FFFFFF"/>
          <w:vertAlign w:val="baseline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  <w:rPr>
          <w:rFonts w:hint="default" w:eastAsia="sans-serif" w:cs="Times New Roman" w:asciiTheme="minorAscii" w:hAnsiTheme="minorAscii"/>
          <w:b/>
          <w:bCs/>
          <w:i w:val="0"/>
          <w:iCs w:val="0"/>
          <w:caps w:val="0"/>
          <w:color w:val="666666"/>
          <w:spacing w:val="0"/>
          <w:sz w:val="22"/>
          <w:szCs w:val="22"/>
          <w:shd w:val="clear" w:fill="FFFFFF"/>
          <w:vertAlign w:val="baseline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  <w:rPr>
          <w:rFonts w:hint="default" w:eastAsia="sans-serif" w:cs="Times New Roman" w:asciiTheme="minorAscii" w:hAnsiTheme="minorAscii"/>
          <w:b/>
          <w:bCs/>
          <w:i w:val="0"/>
          <w:iCs w:val="0"/>
          <w:caps w:val="0"/>
          <w:color w:val="666666"/>
          <w:spacing w:val="0"/>
          <w:sz w:val="22"/>
          <w:szCs w:val="22"/>
          <w:shd w:val="clear" w:fill="FFFFFF"/>
          <w:vertAlign w:val="baseline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  <w:rPr>
          <w:rFonts w:hint="default" w:eastAsia="sans-serif" w:cs="Times New Roman" w:asciiTheme="minorAscii" w:hAnsiTheme="minorAscii"/>
          <w:b/>
          <w:bCs/>
          <w:i w:val="0"/>
          <w:iCs w:val="0"/>
          <w:caps w:val="0"/>
          <w:color w:val="666666"/>
          <w:spacing w:val="0"/>
          <w:sz w:val="22"/>
          <w:szCs w:val="22"/>
          <w:shd w:val="clear" w:fill="FFFFFF"/>
          <w:vertAlign w:val="baseline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  <w:rPr>
          <w:rFonts w:hint="default" w:eastAsia="sans-serif" w:cs="Times New Roman" w:asciiTheme="minorAscii" w:hAnsiTheme="minorAscii"/>
          <w:b/>
          <w:bCs/>
          <w:i w:val="0"/>
          <w:iCs w:val="0"/>
          <w:caps w:val="0"/>
          <w:color w:val="666666"/>
          <w:spacing w:val="0"/>
          <w:sz w:val="22"/>
          <w:szCs w:val="22"/>
          <w:shd w:val="clear" w:fill="FFFFFF"/>
          <w:vertAlign w:val="baseline"/>
        </w:rPr>
      </w:pPr>
    </w:p>
    <w:p>
      <w:pPr>
        <w:bidi w:val="0"/>
        <w:jc w:val="center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Управление реализацией Программы развития</w:t>
      </w:r>
    </w:p>
    <w:p>
      <w:pPr>
        <w:bidi w:val="0"/>
        <w:ind w:firstLine="110" w:firstLineChars="5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Контроль и оценка эффективности выполнения Программы развития проводится по следующим направлениям: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Для контроля исполнения Программы разработан перечень показателей эффективности работы дошкольного образовательного учреждения (индикаторы развития), которые рассматриваются как целевые значения, которые отражают выполнение мероприятий программы до 202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hint="default" w:ascii="Times New Roman" w:hAnsi="Times New Roman" w:cs="Times New Roman"/>
        </w:rPr>
        <w:t xml:space="preserve"> года. Мониторинг проводится по оценке достижения целевых показателей программы, выполнению задач, реализации проектов образовательного учреждения.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Программа развития предполагает использование системы индикаторов, характеризующих текущие (промежуточные) и конечные результаты ее реализации.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Оценка эффективности реализации программы производится путем сравнения фактически достигнутых показателей за соответствующий год с утвержденными на год значениями целевых индикаторов.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Социальная эффективность реализации мероприятий Программы развития будет выражена удовлетворенностью населения качеством предоставляемых ДОО услуг с помощью электронных средств информации и специально организованного опроса (на сайте ДОО и анкетирование). 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Общий контроль выполнения Программы развития осуществляет заведующий и рабочая группа по разработке Программы с ежегодным обсуждением результатов на педагогическом совете МБДОУ «</w:t>
      </w:r>
      <w:r>
        <w:rPr>
          <w:rFonts w:hint="default" w:ascii="Times New Roman" w:hAnsi="Times New Roman" w:cs="Times New Roman"/>
          <w:lang w:val="ru-RU"/>
        </w:rPr>
        <w:t>Радуга</w:t>
      </w:r>
      <w:r>
        <w:rPr>
          <w:rFonts w:hint="default" w:ascii="Times New Roman" w:hAnsi="Times New Roman" w:cs="Times New Roman"/>
        </w:rPr>
        <w:t>».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Текущий контроль и координацию работы дошкольного образовательного учреждения по Программе развития осуществляет заведующий, по проектам – ответственные исполнители. 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Ответственные исполнители: 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-анализируют ход выполнения плана-графика (мероприятий, действий по реализации Программы) и вносят предложения на педагогический совет по его коррекции,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осуществляют информационное и методическое обеспечение реализации Программы; 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системно осуществляют тематический, текущий, персональный и предупредительный контроль за образовательным процессом.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Результаты контроля представляются руководителем ежегодно на общем собрании работников МБДОУ  «</w:t>
      </w:r>
      <w:r>
        <w:rPr>
          <w:rFonts w:hint="default" w:ascii="Times New Roman" w:hAnsi="Times New Roman" w:cs="Times New Roman"/>
          <w:lang w:val="ru-RU"/>
        </w:rPr>
        <w:t>Радуга</w:t>
      </w:r>
      <w:r>
        <w:rPr>
          <w:rFonts w:hint="default" w:ascii="Times New Roman" w:hAnsi="Times New Roman" w:cs="Times New Roman"/>
        </w:rPr>
        <w:t>» и заседании совета родителей, публикуются на официальном сайте МБДОУ  «</w:t>
      </w:r>
      <w:r>
        <w:rPr>
          <w:rFonts w:hint="default" w:ascii="Times New Roman" w:hAnsi="Times New Roman" w:cs="Times New Roman"/>
          <w:lang w:val="ru-RU"/>
        </w:rPr>
        <w:t>Радуга</w:t>
      </w:r>
      <w:r>
        <w:rPr>
          <w:rFonts w:hint="default" w:ascii="Times New Roman" w:hAnsi="Times New Roman" w:cs="Times New Roman"/>
        </w:rPr>
        <w:t>» как часть отчета о самообследовании в апреле каждого года.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Руководитель ДОО несет ответственность за реализацию и своевременное исполнение индикаторов Программы развития ОО.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План-график программных мер, действий, мероприятий, обеспечивающих развитие образовательной организации с учетом их ресурсного обеспечения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деятельности, каждая из которых представляет собой комплекс взаимосвязанных мероприятий, нацеленных на решение проблем данной сферы образовательной деятельности.</w:t>
      </w:r>
    </w:p>
    <w:p>
      <w:pPr>
        <w:bidi w:val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Проект «Управление качеством дошкольного образования»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Цель:  Повышение качества и доступности дошкольного образования в соответствии с ФГОС ДО путем обеспечения эффективного внутреннего управления ДОУ; 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Задачи: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Реализовать внутреннюю систему оценки качества образования (ВСОКО), как механизма выполнения основной образовательной программы МБДОУ «</w:t>
      </w:r>
      <w:r>
        <w:rPr>
          <w:rFonts w:hint="default" w:ascii="Times New Roman" w:hAnsi="Times New Roman" w:cs="Times New Roman"/>
          <w:lang w:val="ru-RU"/>
        </w:rPr>
        <w:t>Радуга</w:t>
      </w:r>
      <w:r>
        <w:rPr>
          <w:rFonts w:hint="default" w:ascii="Times New Roman" w:hAnsi="Times New Roman" w:cs="Times New Roman"/>
        </w:rPr>
        <w:t>»; </w:t>
      </w:r>
    </w:p>
    <w:tbl>
      <w:tblPr>
        <w:tblStyle w:val="4"/>
        <w:tblpPr w:leftFromText="180" w:rightFromText="180" w:vertAnchor="text" w:horzAnchor="page" w:tblpX="608" w:tblpY="913"/>
        <w:tblOverlap w:val="never"/>
        <w:tblW w:w="14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7737"/>
        <w:gridCol w:w="2227"/>
        <w:gridCol w:w="1927"/>
        <w:gridCol w:w="21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№ п/п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Мероприятия проекта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Сроки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проведения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Ответственный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исполнитель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Источник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Изучение нормативных документов федерального, регионального, муниципального уровней, направленных на модернизацию дошкольного образования. 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Разработка новых локальных актов, регламентирующих деятельность ДОУ (приказов, положений, правил), заключение договоров с партнерами.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Обеспечить выполнение объема муниципальных услуг, установленных в муниципальном задании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Внедрение и реализация программы воспитания в рамках основной образовательной программы МБДОУ  «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Радуга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»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Внедрение инновационных образовательных технологий в рамках инновационной деятельности с целью повышения качества образования в ДОО.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В период действия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программы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Педагогический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персонал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Проведение «общесадовых» воспитательных мероприятий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Ежемесячно с сентября по май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Оптимизация  мониторинга  результативности  образования и оценки развития детей, как критерия готовности к школьному обучению. 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Ежегодно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Информирование родителей об использовании в ДОО инструментария оценки развития детей и разъяснения значения проведения этой работы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В период действия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программы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Старший воспитатель 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Анкетирование родителей с целью оценки удовлетворенности качеством дошкольного образования детей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Мониторинг качества дополнительного образования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Ежегодно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Обеспечение педагогов печатными и электронными образовательными ресурсами, в том числе подписка на электронные издания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Заведующий,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Внебюджетные средства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Внедрение системы методических мероприятий с педагогами по ходу реализации проекта.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Педагогический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персонал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Ведение сайта в соответствии с требованиями законодательства РФ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Постоянно, В период действия программы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Информирование общественности о деятельности на информационных стендах и официальном сайте ДОО, в том числе предоставление отчета о результатах финансово-хозяйственной и образовательной деятельности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В период действия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программы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Заведующий,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Педагоги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</w:tbl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– </w:t>
      </w: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Ожидаемые результаты: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– ежегодное 100% выполнение муниципального задания;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 ежегодное предоставление общественности отчета о результатах финансово-хозяйственной и образовательной деятельности (отчет по самообследованию);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− сохранение доли детей, охваченных образовательными программами, соответствующими федеральному государственному образовательному стандарту дошкольного образования на показателе 100%;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увеличение доли обучающихся ДОО с высокой и средней степенью готовности к школьному обучению с 92 до 95%;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повышение степени удовлетворенности родителей качеством образовательных услуг с 86,6 до 94%.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  100% соответствие сайта требованиям законодательства.</w:t>
      </w:r>
    </w:p>
    <w:p>
      <w:pPr>
        <w:bidi w:val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Проект «Комфортная и безопасная образовательная среда»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Цель: Обеспечение комфортной жизнедеятельности участников образовательных отношений путем создания безопасного образовательного пространства.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Задачи: 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Продолжить работу по приведению здания и территории в соответствие с требованиями антитеррористической, дорожной, информационной, пожарной безопасности, санитарными правилами;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Укрепить материально-техническую базу с точки зрения ее безопасности;</w:t>
      </w:r>
    </w:p>
    <w:tbl>
      <w:tblPr>
        <w:tblStyle w:val="4"/>
        <w:tblpPr w:leftFromText="180" w:rightFromText="180" w:vertAnchor="text" w:horzAnchor="page" w:tblpX="1173" w:tblpY="957"/>
        <w:tblOverlap w:val="never"/>
        <w:tblW w:w="14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8450"/>
        <w:gridCol w:w="1326"/>
        <w:gridCol w:w="1929"/>
        <w:gridCol w:w="2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№ п/п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Мероприятия проекта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Сроки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проведения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Ответственный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исполнитель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Источник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Изучение нормативных документов федерального,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регионального, муниципального уровней в области безопасности человека.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Определение объема финансовых расходов, необходимых для укрепления материально-технического состояния ДОО.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Ежегодно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Заведующий, 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Глав. бухгалтер,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Зам. зав. по АХР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План ФХД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Выполнение мероприятий в рамках реализации плана мероприятий Паспорта безопасности МБДОУ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Ежегодно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Заведующий, 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Зам. зав. по АХР,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Глав. бухгалтер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Местный бюджет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Приведение в соответствии с требованиями СанПиН, пожарной и антитеррористической безопасности территории, здания, помещений и коммуникационных систем учреждения (установка пункта охраны на центральный вход и замены нового ограждения (забора).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Заведующий,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Зам. по АХР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Местный бюджет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Приведение в соответствие с нормативами системы автоматической пожарной сигнализации и системы оповещения и управления эвакуацией при пожаре.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Заведующий,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Зам. по АХР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Местный бюджет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Проведение специальной оценки условий труда, работы по оценке профессиональных рисков, психиатрического освидетельствования работников ДОО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Заведующий, 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Главный бухгалтер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Местный бюджет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Мониторинг детского травматизма, безопасных условий труда и производственного травматизма. Проведение обучающих мероприятий по его профилактике.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Ежегодно 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Обеспечение оснащения ДОУ (приобретение компьютерной техники, детской мебели, технологического оборудования прачечной, модернизация системы видеонаблюдения, продолжение замены оконных и дверных блоков на энергосберегающие; косметические ремонты помещений)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Заведующий,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Зам. по АХР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Местный бюджет, Внебюджетные средства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Оснащение образовательного процесса учебными, игровыми, учебно-методическими комплектами, дидактическими пособиями и игрушками,  в соответствии с ФГОС ДО и направлениями инновационной деятельности, в том числе для детей   а также повышение благоустройства детских игровых площадок новыми игровыми постройками.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Заведующий,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Зам. по АХР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Местный бюджет, Внебюджетные средства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Оснащение здоровьесберегающего пространства посредством приобретения спортивного инвентаря и оборудования в спортивный зал, на спортивную площадку 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.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Заведующий,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Зам. по АХР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Местный бюджет, Внебюджетные средства</w:t>
            </w:r>
          </w:p>
        </w:tc>
      </w:tr>
    </w:tbl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Ожидаемые результаты: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– стабильное функционирование ДОО в соответствии с целями и задачами Программы развития,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− сохранение 100% степени оснащения ДОО системой автоматической пожарной сигнализации и системой оповещения и управления эвакуацией при пожаре;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увеличение доли групп, в полной мере отвечающих требованиям ФГОС  ДО с 50 до 100 %; 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увеличение доли групп, обеспеченных современным обучающим оборудованием для внедрения цифровых образовательных технологий в образовательное пространство ОО с 20 до 100 %;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100 % выполнения мероприятий в рамках реализации плана мероприятий Паспорта безопасности МБДОУ;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100 % проведение специальной оценки условий труда и оценки профессиональных рисков, в общем количестве рабочих мест.</w:t>
      </w: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Проект «Успешный ребенок» 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Цель: направить усилия педагогического коллектива на выявление, поддержку и развитие способностей и талантов обучающихся в различных видах деятельности и через систему дополнительного образования.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Задачи: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Развитие системы работы с одаренными воспитанниками;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Включение детей с особыми способностями в конкурсное движение, дополнительное образование;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Расширение спектра дополнительных образовательных услуг с учетом запросов родителей (законных представителей) обучающихся; 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Развитие кадрового потенциала в данном направлении</w:t>
      </w:r>
    </w:p>
    <w:tbl>
      <w:tblPr>
        <w:tblStyle w:val="4"/>
        <w:tblW w:w="14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6723"/>
        <w:gridCol w:w="2913"/>
        <w:gridCol w:w="2001"/>
        <w:gridCol w:w="2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№ п/п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Мероприятия проекта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Сроки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проведения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Ответственный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исполнитель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Источник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Изучение нормативных документов по работе с талантливыми детьми и в области дополнительного образования детей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Разработка и реализация индивидуальных образовательных маршрутов для одаренных детей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педагоги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Участие в муниципальных социально-педагогических программах 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По плану организаций доп.образования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Включение детей с особыми способностями, в том числе с ОВЗ в конкурсное движение, сдачу1 ступени норм ГТО.  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В период действия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программы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Педагоги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Мониторинг по охвату детей дополнительным образованием.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Ежегодно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</w:tbl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Ожидаемые результаты: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– увеличение доли обучающихся ДОО, принимающих участие в муниципальных, областных и всероссийских конкурсах ежегодно, в том числе и детей  с 70 до 75%;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увеличение доли обучающихся ДОО, принимающих участие в муниципальных социально-педагогических программах с 15 до 30%;</w:t>
      </w:r>
    </w:p>
    <w:p>
      <w:pPr>
        <w:bidi w:val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Проект «Кадровый потенциал» 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Цель: выстраивание (оптимизация) системы профессионального роста педагогических работников в ДОО, выступающих гарантом предоставления высокого качества образовательных услуг.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Задачи: 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Направить усилия на квалификационное развитие персонала;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∙  Повышать мотивацию педагогических работников к профессиональному росту через повышение квалификации, самообразование, участие в конкурсном движении, в том числе в конкурсах профессионального мастерства;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Совершенствовать систему наставничества;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Стимулировать участие педагогов в инновационной деятельности;</w:t>
      </w:r>
    </w:p>
    <w:tbl>
      <w:tblPr>
        <w:tblStyle w:val="4"/>
        <w:tblpPr w:leftFromText="180" w:rightFromText="180" w:vertAnchor="text" w:horzAnchor="page" w:tblpX="1076" w:tblpY="819"/>
        <w:tblOverlap w:val="never"/>
        <w:tblW w:w="14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4"/>
        <w:gridCol w:w="1118"/>
        <w:gridCol w:w="1441"/>
        <w:gridCol w:w="1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Организация обучения административных работников и  педагогов по внедрению  в практику работы цифровых технологий.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Областной бюджет</w:t>
            </w:r>
          </w:p>
        </w:tc>
      </w:tr>
    </w:tbl>
    <w:p>
      <w:pPr>
        <w:bidi w:val="0"/>
        <w:rPr>
          <w:rFonts w:hint="default" w:ascii="Times New Roman" w:hAnsi="Times New Roman" w:cs="Times New Roman"/>
        </w:rPr>
      </w:pPr>
    </w:p>
    <w:tbl>
      <w:tblPr>
        <w:tblStyle w:val="4"/>
        <w:tblpPr w:leftFromText="180" w:rightFromText="180" w:vertAnchor="text" w:horzAnchor="page" w:tblpX="1076" w:tblpY="819"/>
        <w:tblOverlap w:val="never"/>
        <w:tblW w:w="14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8622"/>
        <w:gridCol w:w="1326"/>
        <w:gridCol w:w="1899"/>
        <w:gridCol w:w="2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№ п/п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Мероприятия проекта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Сроки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проведения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Ответственный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исполнитель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Источник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Наставническая деятельность. Разработка локальных нормативных актов по вопросам внедрения системы наставничества. 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Составление плана-графика повышения квалификации педагогических и руководящих работников в соответствии с профессиональными стандартами и контроль за его реализацией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Ежегодно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Заведующий, 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Обучение в ДОО педагогов по вопросам охраны труда, оказанию первой помощи, технике безопасности, пожарной, антитеррористической безопасности, антикоррупционной политики в свете действующего законодательства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Подготовка и реализация плана-графика аттестации педагогических и руководящих работников, индивидуальное методическое сопровождение аттестуемых педагогов.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Ежегодно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Методическая деятельность в рамках реализации годового плана работы. 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Расширение спектра современных форм методической работы, в том числе в дистанционном формате (брейн-ринг, педагогическая гостиная, педагогическое кафе)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Участие в муниципальной программе поддержки молодых педагогов ДОУ, мотивирование педагогов, имеющих переподготовку, к получению высшего образования по профилю деятельности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Ежегодно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Активное участие педагогов в конкурсах муниципального и регионального уровня, в том числе конкурсах профессионального мастерства.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Ежегодно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Участие педагогов в инновационной деятельности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Ежегодно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Ст. воспитатель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Организация методического и технического сопровождения при использовании сотрудниками цифровых образовательных технологий.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2022-202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Заведующий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Без финансирования</w:t>
            </w:r>
          </w:p>
        </w:tc>
      </w:tr>
    </w:tbl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Ожидаемые результаты: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− сохранение доли педагогов ДОО, которые прошли курсы повышения квалификации и/или профессиональную переподготовку в соответствии с ФГОС и направлением деятельности, в общей численности педагогов на показателе 100 %;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увеличение доли педагогов ДОО, прошедших обучение в области цифровых образовательных технологий, в общей численности педагогов от 20 % до 100 %;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увеличение доли педагогов, используемых в своей работе цифровые программы и технологии, в том числе в области ИКТ с 30 % до 60 %;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увеличение доли педагогов, участвующих в инновационной деятельности ДОУ с 60 % до 80 %;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увеличение доли педагогов, участвующих в конкурсах муниципального и регионального уровня с 80 % до 100 %; 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увеличение доли педагогических работников, имеющих уровень образования по направлению деятельности образовательной организации с 85 до 94 %; 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увеличение доли педагогических работников с высшим образованием с 38 до 48 %.</w:t>
      </w:r>
    </w:p>
    <w:p>
      <w:pPr>
        <w:bidi w:val="0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Финансовое и ресурсное обеспечение реализации Программы развития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Финансирование Программы предусматривается осуществлять за счет бюджетных средств, полученных в рамках ежегодной субсидии на выполнение утвержденного муниципального задания из регионального и местного бюджета, средств на иные цели и привлечения средств из внебюджетных источников (родительская плата, средств от иной приносящей доход деятельности, полученных от оказания платных образовательных услуг).</w:t>
      </w:r>
    </w:p>
    <w:tbl>
      <w:tblPr>
        <w:tblStyle w:val="4"/>
        <w:tblpPr w:leftFromText="180" w:rightFromText="180" w:vertAnchor="text" w:horzAnchor="page" w:tblpX="1796" w:tblpY="428"/>
        <w:tblOverlap w:val="never"/>
        <w:tblW w:w="132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3"/>
        <w:gridCol w:w="1219"/>
        <w:gridCol w:w="1219"/>
        <w:gridCol w:w="1220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Наименование субсидии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2022 год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2023 год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2024 год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2025 год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Субсидия на обеспечение содержания зданий и сооружений, обустройство прилегающих территорий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(замена шифера)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192000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Нет данных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Нет данных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Нет данных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Субсидия на обеспечение содержания зданий и сооружений, обустройство прилегающих территорий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(замена забора)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Нет данных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lang w:val="ru-RU" w:eastAsia="zh-CN"/>
              </w:rPr>
              <w:t>204000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lang w:val="ru-RU" w:eastAsia="zh-CN"/>
              </w:rPr>
              <w:t>Нет данных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lang w:val="ru-RU" w:eastAsia="zh-CN"/>
              </w:rPr>
              <w:t>Нет данных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Субсидия на повышение уровня благоустройства территорий ДОО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 xml:space="preserve"> пристройка музыкального  зала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Нет данных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776350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Нет данных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Нет данных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Субсидия на повышение уровня благоустройства территорий ДОО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 xml:space="preserve"> пристройка группы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Нет данных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lang w:val="ru-RU" w:eastAsia="zh-CN"/>
              </w:rPr>
              <w:t>Нет данных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lang w:val="ru-RU" w:eastAsia="zh-CN"/>
              </w:rPr>
              <w:t>813000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lang w:val="ru-RU" w:eastAsia="zh-CN"/>
              </w:rPr>
              <w:t>Нет данных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Субсидия на повышение уровня благоустройства территорий ДОО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 xml:space="preserve"> пристройка физкультурного  зала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Нет данных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Нет данных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Нет данных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850000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Итого по целевым субсидиям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lang w:val="ru-RU" w:eastAsia="zh-CN"/>
              </w:rPr>
              <w:t>Бюджетные средства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192000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980350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813000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850000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Всего: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192000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980350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813000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850000</w:t>
            </w:r>
          </w:p>
        </w:tc>
      </w:tr>
    </w:tbl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– </w:t>
      </w: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к.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before="0" w:beforeAutospacing="0" w:after="0" w:afterAutospacing="0"/>
        <w:ind w:firstLine="720" w:firstLineChars="200"/>
        <w:rPr>
          <w:rFonts w:hint="default" w:ascii="Times New Roman" w:hAnsi="Times New Roman" w:eastAsia="SimSun" w:cs="Times New Roman"/>
          <w:sz w:val="36"/>
          <w:szCs w:val="36"/>
          <w:lang w:val="ru-RU"/>
        </w:rPr>
      </w:pPr>
    </w:p>
    <w:sectPr>
      <w:pgSz w:w="16839" w:h="11907" w:orient="landscape"/>
      <w:pgMar w:top="1701" w:right="567" w:bottom="851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T Astra Serif">
    <w:altName w:val="Segoe Print"/>
    <w:panose1 w:val="020A0603040505020204"/>
    <w:charset w:val="CC"/>
    <w:family w:val="roman"/>
    <w:pitch w:val="default"/>
    <w:sig w:usb0="00000000" w:usb1="00000000" w:usb2="00000020" w:usb3="00000000" w:csb0="0000009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A649B"/>
    <w:multiLevelType w:val="multilevel"/>
    <w:tmpl w:val="0F8A64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50E6E07"/>
    <w:multiLevelType w:val="multilevel"/>
    <w:tmpl w:val="150E6E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D742F29"/>
    <w:multiLevelType w:val="multilevel"/>
    <w:tmpl w:val="4D742F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2D82ADB"/>
    <w:multiLevelType w:val="multilevel"/>
    <w:tmpl w:val="72D82A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763F32AC"/>
    <w:multiLevelType w:val="multilevel"/>
    <w:tmpl w:val="763F32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7DB737C5"/>
    <w:multiLevelType w:val="multilevel"/>
    <w:tmpl w:val="7DB737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4163"/>
    <w:rsid w:val="00074057"/>
    <w:rsid w:val="00083DF9"/>
    <w:rsid w:val="000F608D"/>
    <w:rsid w:val="00166959"/>
    <w:rsid w:val="001918DE"/>
    <w:rsid w:val="0028386E"/>
    <w:rsid w:val="002B1ECC"/>
    <w:rsid w:val="002D33B1"/>
    <w:rsid w:val="002D3591"/>
    <w:rsid w:val="003514A0"/>
    <w:rsid w:val="003A3DC1"/>
    <w:rsid w:val="003E3AB5"/>
    <w:rsid w:val="003E5B65"/>
    <w:rsid w:val="00446FA8"/>
    <w:rsid w:val="004766CE"/>
    <w:rsid w:val="004F7E17"/>
    <w:rsid w:val="00504D3F"/>
    <w:rsid w:val="005353B2"/>
    <w:rsid w:val="005A05CE"/>
    <w:rsid w:val="00620361"/>
    <w:rsid w:val="00653AF6"/>
    <w:rsid w:val="0066413C"/>
    <w:rsid w:val="006E125A"/>
    <w:rsid w:val="007E19D9"/>
    <w:rsid w:val="0083001C"/>
    <w:rsid w:val="008525C0"/>
    <w:rsid w:val="008609E1"/>
    <w:rsid w:val="00900D72"/>
    <w:rsid w:val="00911576"/>
    <w:rsid w:val="009375A2"/>
    <w:rsid w:val="00995B46"/>
    <w:rsid w:val="00A5222A"/>
    <w:rsid w:val="00B05B6C"/>
    <w:rsid w:val="00B73A5A"/>
    <w:rsid w:val="00BD6677"/>
    <w:rsid w:val="00C654B2"/>
    <w:rsid w:val="00CA6714"/>
    <w:rsid w:val="00D355F7"/>
    <w:rsid w:val="00D42F0C"/>
    <w:rsid w:val="00D93CC7"/>
    <w:rsid w:val="00D94E98"/>
    <w:rsid w:val="00DA0511"/>
    <w:rsid w:val="00E438A1"/>
    <w:rsid w:val="00E5043E"/>
    <w:rsid w:val="00EB0B0A"/>
    <w:rsid w:val="00EC5860"/>
    <w:rsid w:val="00EC6E42"/>
    <w:rsid w:val="00F01E19"/>
    <w:rsid w:val="00F115BB"/>
    <w:rsid w:val="00F74515"/>
    <w:rsid w:val="0EA03ADD"/>
    <w:rsid w:val="109E3056"/>
    <w:rsid w:val="14866544"/>
    <w:rsid w:val="2F0E1328"/>
    <w:rsid w:val="40ED2528"/>
    <w:rsid w:val="42E7410D"/>
    <w:rsid w:val="4D3F7D48"/>
    <w:rsid w:val="58406E2D"/>
    <w:rsid w:val="68301DAE"/>
    <w:rsid w:val="7163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4"/>
    <w:qFormat/>
    <w:uiPriority w:val="59"/>
    <w:pPr>
      <w:spacing w:before="0" w:beforeAutospacing="0" w:after="0" w:afterAutospacing="0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4885</Words>
  <Characters>27847</Characters>
  <Lines>232</Lines>
  <Paragraphs>65</Paragraphs>
  <TotalTime>1</TotalTime>
  <ScaleCrop>false</ScaleCrop>
  <LinksUpToDate>false</LinksUpToDate>
  <CharactersWithSpaces>32667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2021-01-04T06:56:00Z</dcterms:created>
  <dc:creator>Денис</dc:creator>
  <dc:description>Подготовлено экспертами Актион-МЦФЭР</dc:description>
  <cp:lastModifiedBy>Аяна Бараан</cp:lastModifiedBy>
  <cp:lastPrinted>2022-11-14T05:43:00Z</cp:lastPrinted>
  <dcterms:modified xsi:type="dcterms:W3CDTF">2023-05-17T03:24:41Z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0B9889048EEA4C37AE79413000CC0FF4</vt:lpwstr>
  </property>
</Properties>
</file>